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54" w:rsidRDefault="00F57A54">
      <w:pPr>
        <w:pStyle w:val="BodyText2"/>
        <w:rPr>
          <w:b/>
          <w:bCs/>
          <w:lang w:val="nl-NL"/>
        </w:rPr>
      </w:pPr>
      <w:r>
        <w:rPr>
          <w:b/>
          <w:bCs/>
          <w:lang w:val="nl-NL"/>
        </w:rPr>
        <w:t>17 mei 2016</w:t>
      </w:r>
    </w:p>
    <w:p w:rsidR="00F57A54" w:rsidRDefault="00F57A54">
      <w:pPr>
        <w:pStyle w:val="BodyText2"/>
        <w:jc w:val="center"/>
        <w:rPr>
          <w:b/>
          <w:bCs/>
          <w:lang w:val="nl-NL"/>
        </w:rPr>
      </w:pPr>
      <w:r>
        <w:rPr>
          <w:b/>
          <w:bCs/>
          <w:lang w:val="nl-NL"/>
        </w:rPr>
        <w:t>Tata Steel Chess Tournament gekozen tot beste toernooi van 2015</w:t>
      </w:r>
    </w:p>
    <w:p w:rsidR="00F57A54" w:rsidRDefault="00F57A54">
      <w:pPr>
        <w:pStyle w:val="BodyText2"/>
        <w:jc w:val="center"/>
        <w:rPr>
          <w:b/>
          <w:bCs/>
          <w:sz w:val="28"/>
          <w:szCs w:val="28"/>
          <w:lang w:val="nl-NL"/>
        </w:rPr>
      </w:pPr>
      <w:r>
        <w:rPr>
          <w:b/>
          <w:bCs/>
          <w:sz w:val="28"/>
          <w:szCs w:val="28"/>
          <w:lang w:val="nl-NL"/>
        </w:rPr>
        <w:t>Tata Steel Chess Tournament zet samenwerking internationale schaakspelersbond ACP voort in 2017</w:t>
      </w:r>
    </w:p>
    <w:p w:rsidR="00F57A54" w:rsidRDefault="00F57A54">
      <w:pPr>
        <w:pStyle w:val="BodyText2"/>
        <w:spacing w:after="240" w:line="360" w:lineRule="auto"/>
        <w:jc w:val="both"/>
        <w:rPr>
          <w:b/>
          <w:bCs/>
          <w:lang w:val="nl-NL"/>
        </w:rPr>
      </w:pPr>
      <w:r>
        <w:rPr>
          <w:b/>
          <w:bCs/>
          <w:lang w:val="nl-NL"/>
        </w:rPr>
        <w:t>Het Tata Steel Chess Tournament zet in 2017 de samenwerking voort met de ACP, de internationale bond van schaakgrootmeesters. In de Tata Steel Challengers wordt wederom een plek toegekend aan een veteranenspeler (45+). Die gaat volgend jaar naar de Israëliër Ilya Smirin (1968), die eerder in 1993 en 1994 deelnam aan het schaaktoernooi in Wijk aan Zee. Daarmee is de eerste deelnemer bekend van het Tata Steel Chess Tournament 2017. “Smirin geldt als een zeer sterk grootmeester en is geliefd om zijn ondernemende en aanvallende spel”, aldus Jeroen van den Berg, directeur van het Tata Steel Chess Tournament. Komend jaar wordt er niet alleen in de Tata Steel Masters, maar ook in de Tata Steel Challengers een plek gereserveerd voor een speler uit de ACP Tour. De leden van de ACP hebben het Tata Steel Chess Tournament onlangs uitgeroepen tot het beste internationale toernooi van 2015. De 79</w:t>
      </w:r>
      <w:r>
        <w:rPr>
          <w:b/>
          <w:bCs/>
          <w:vertAlign w:val="superscript"/>
          <w:lang w:val="nl-NL"/>
        </w:rPr>
        <w:t>e</w:t>
      </w:r>
      <w:r>
        <w:rPr>
          <w:b/>
          <w:bCs/>
          <w:lang w:val="nl-NL"/>
        </w:rPr>
        <w:t xml:space="preserve"> editie van het Tata Steel Chess Tournament vindt plaats van vrijdag 13 tot en met zondag 29 januari 2017.</w:t>
      </w:r>
    </w:p>
    <w:p w:rsidR="00F57A54" w:rsidRDefault="00F57A54">
      <w:pPr>
        <w:pStyle w:val="BodyText2"/>
        <w:spacing w:after="240" w:line="360" w:lineRule="auto"/>
        <w:jc w:val="both"/>
        <w:rPr>
          <w:lang w:val="nl-NL"/>
        </w:rPr>
      </w:pPr>
      <w:r>
        <w:rPr>
          <w:lang w:val="nl-NL"/>
        </w:rPr>
        <w:t>In de Tata Steel Masters 2017 is een plek gereserveerd voor de speler die op 1 december 2016 het hoogst genoteerd is van de ACP Tour (van de spelers die op 1 januari 2016 een rating van 2750 of lager hadden). Tijdens het Tata Steel Chess Tournament 2016 ging die plek naar de Rus Evgeny Tomashevsky. Hij eindigde als 11</w:t>
      </w:r>
      <w:r>
        <w:rPr>
          <w:vertAlign w:val="superscript"/>
          <w:lang w:val="nl-NL"/>
        </w:rPr>
        <w:t>e</w:t>
      </w:r>
      <w:r>
        <w:rPr>
          <w:lang w:val="nl-NL"/>
        </w:rPr>
        <w:t xml:space="preserve"> en wist in de laatste ronde verrassend Fabiano Caruana te verslaan. In 2015 wist ACP-kandidaat Wojtaszek wereldkampioen Magnus Carlsen te verslaan, de uiteindelijke winnaar van het toernooi. In de Tata Steel Challengers is voor volgend jaar ook een plek gereserveerd: voor de speler die op 1 december 2016 het hoogst genoteerd is van de ACP Tour van de spelers die op 1 januari 2016 een rating van 2650 of lager hadden. “De samenwerking biedt grootmeesters een unieke kans om zich te kunnen plaatsen voor het meest vooraanstaande schaaktoernooi van de wereld”, aldus Emil Sutovsky, voorzitter van de ACP.  </w:t>
      </w:r>
    </w:p>
    <w:p w:rsidR="00F57A54" w:rsidRDefault="00F57A54">
      <w:pPr>
        <w:pStyle w:val="BodyText2"/>
        <w:spacing w:after="240" w:line="360" w:lineRule="auto"/>
        <w:jc w:val="both"/>
        <w:rPr>
          <w:lang w:val="nl-NL"/>
        </w:rPr>
      </w:pPr>
      <w:r>
        <w:rPr>
          <w:lang w:val="nl-NL"/>
        </w:rPr>
        <w:t xml:space="preserve">Informatie over het Tata Steel Chess Tournament is te vinden op </w:t>
      </w:r>
      <w:hyperlink r:id="rId7" w:history="1">
        <w:r>
          <w:rPr>
            <w:rStyle w:val="Hyperlink"/>
            <w:rFonts w:ascii="Arial" w:hAnsi="Arial" w:cs="Arial"/>
            <w:lang w:val="nl-NL"/>
          </w:rPr>
          <w:t>www.tatasteelchess.com</w:t>
        </w:r>
      </w:hyperlink>
      <w:r>
        <w:rPr>
          <w:lang w:val="nl-NL"/>
        </w:rPr>
        <w:t xml:space="preserve">. </w:t>
      </w:r>
    </w:p>
    <w:sectPr w:rsidR="00F57A54" w:rsidSect="00F57A54">
      <w:footerReference w:type="default" r:id="rId8"/>
      <w:headerReference w:type="first" r:id="rId9"/>
      <w:footerReference w:type="first" r:id="rId10"/>
      <w:pgSz w:w="11907" w:h="16840" w:code="9"/>
      <w:pgMar w:top="1417" w:right="1361"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54" w:rsidRDefault="00F57A54">
      <w:pPr>
        <w:rPr>
          <w:rFonts w:ascii="Times New Roman" w:hAnsi="Times New Roman" w:cs="Times New Roman"/>
        </w:rPr>
      </w:pPr>
      <w:r>
        <w:rPr>
          <w:rFonts w:ascii="Times New Roman" w:hAnsi="Times New Roman" w:cs="Times New Roman"/>
        </w:rPr>
        <w:separator/>
      </w:r>
    </w:p>
  </w:endnote>
  <w:endnote w:type="continuationSeparator" w:id="0">
    <w:p w:rsidR="00F57A54" w:rsidRDefault="00F57A5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4" w:rsidRDefault="00F57A54">
    <w:pPr>
      <w:pStyle w:val="Footer"/>
      <w:ind w:right="-1236"/>
      <w:jc w:val="right"/>
      <w:rPr>
        <w:rFonts w:ascii="Times New Roman" w:hAnsi="Times New Roman" w:cs="Times New Roman"/>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4" w:rsidRDefault="00F57A54">
    <w:pPr>
      <w:rPr>
        <w:rFonts w:ascii="Times New Roman" w:hAnsi="Times New Roman" w:cs="Times New Roman"/>
        <w:lang w:val="nl-NL"/>
      </w:rPr>
    </w:pPr>
  </w:p>
  <w:p w:rsidR="00F57A54" w:rsidRDefault="00F57A54">
    <w:pPr>
      <w:rPr>
        <w:rFonts w:ascii="Times New Roman" w:hAnsi="Times New Roman" w:cs="Times New Roman"/>
        <w:lang w:val="nl-NL"/>
      </w:rPr>
    </w:pPr>
  </w:p>
  <w:tbl>
    <w:tblPr>
      <w:tblW w:w="8553" w:type="dxa"/>
      <w:tblInd w:w="-106" w:type="dxa"/>
      <w:tblLook w:val="0000"/>
    </w:tblPr>
    <w:tblGrid>
      <w:gridCol w:w="8553"/>
    </w:tblGrid>
    <w:tr w:rsidR="00F57A54">
      <w:tc>
        <w:tcPr>
          <w:tcW w:w="8553" w:type="dxa"/>
          <w:tcBorders>
            <w:top w:val="nil"/>
            <w:left w:val="nil"/>
            <w:bottom w:val="nil"/>
            <w:right w:val="nil"/>
          </w:tcBorders>
        </w:tcPr>
        <w:p w:rsidR="00F57A54" w:rsidRDefault="00F57A54">
          <w:pPr>
            <w:pStyle w:val="Footer"/>
            <w:spacing w:line="200" w:lineRule="atLeast"/>
            <w:jc w:val="center"/>
            <w:rPr>
              <w:color w:val="3D7EDB"/>
              <w:lang w:val="nl-NL"/>
            </w:rPr>
          </w:pPr>
          <w:r>
            <w:rPr>
              <w:color w:val="3D7EDB"/>
              <w:lang w:val="nl-NL"/>
            </w:rPr>
            <w:t>Tata Steel</w:t>
          </w:r>
        </w:p>
      </w:tc>
    </w:tr>
    <w:tr w:rsidR="00F57A54">
      <w:tc>
        <w:tcPr>
          <w:tcW w:w="8553" w:type="dxa"/>
          <w:tcBorders>
            <w:top w:val="nil"/>
            <w:left w:val="nil"/>
            <w:bottom w:val="nil"/>
            <w:right w:val="nil"/>
          </w:tcBorders>
        </w:tcPr>
        <w:p w:rsidR="00F57A54" w:rsidRDefault="00F57A54">
          <w:pPr>
            <w:pStyle w:val="Footer"/>
            <w:spacing w:line="200" w:lineRule="atLeast"/>
            <w:jc w:val="center"/>
            <w:rPr>
              <w:color w:val="3D7EDB"/>
              <w:lang w:val="nl-NL"/>
            </w:rPr>
          </w:pPr>
          <w:r>
            <w:rPr>
              <w:color w:val="3D7EDB"/>
              <w:lang w:val="nl-NL"/>
            </w:rPr>
            <w:t>Postbus 10000, 1970 CA  IJmuiden</w:t>
          </w:r>
        </w:p>
      </w:tc>
    </w:tr>
    <w:tr w:rsidR="00F57A54">
      <w:tc>
        <w:tcPr>
          <w:tcW w:w="8553" w:type="dxa"/>
          <w:tcBorders>
            <w:top w:val="nil"/>
            <w:left w:val="nil"/>
            <w:bottom w:val="nil"/>
            <w:right w:val="nil"/>
          </w:tcBorders>
        </w:tcPr>
        <w:p w:rsidR="00F57A54" w:rsidRDefault="00F57A54">
          <w:pPr>
            <w:pStyle w:val="Footer"/>
            <w:spacing w:line="200" w:lineRule="atLeast"/>
            <w:jc w:val="center"/>
            <w:rPr>
              <w:color w:val="3D7EDB"/>
              <w:lang w:val="nl-NL"/>
            </w:rPr>
          </w:pPr>
          <w:r>
            <w:rPr>
              <w:color w:val="3D7EDB"/>
              <w:lang w:val="nl-NL"/>
            </w:rPr>
            <w:t xml:space="preserve">T: +31 (0) 251 491837 </w:t>
          </w:r>
        </w:p>
      </w:tc>
    </w:tr>
    <w:tr w:rsidR="00F57A54">
      <w:trPr>
        <w:trHeight w:val="256"/>
      </w:trPr>
      <w:tc>
        <w:tcPr>
          <w:tcW w:w="8553" w:type="dxa"/>
          <w:tcBorders>
            <w:top w:val="nil"/>
            <w:left w:val="nil"/>
            <w:bottom w:val="nil"/>
            <w:right w:val="nil"/>
          </w:tcBorders>
        </w:tcPr>
        <w:p w:rsidR="00F57A54" w:rsidRDefault="00F57A54">
          <w:pPr>
            <w:pStyle w:val="Footer"/>
            <w:spacing w:line="200" w:lineRule="atLeast"/>
            <w:jc w:val="center"/>
            <w:rPr>
              <w:color w:val="3D7EDB"/>
              <w:lang w:val="nl-NL"/>
            </w:rPr>
          </w:pPr>
          <w:r>
            <w:rPr>
              <w:color w:val="3D7EDB"/>
              <w:lang w:val="nl-NL"/>
            </w:rPr>
            <w:t>www.tatasteel.nl</w:t>
          </w:r>
        </w:p>
      </w:tc>
    </w:tr>
  </w:tbl>
  <w:p w:rsidR="00F57A54" w:rsidRDefault="00F57A54">
    <w:pPr>
      <w:pStyle w:val="Footer"/>
      <w:tabs>
        <w:tab w:val="clear" w:pos="9026"/>
        <w:tab w:val="right" w:pos="7740"/>
      </w:tabs>
      <w:ind w:right="-1236"/>
      <w:jc w:val="right"/>
      <w:rPr>
        <w:rFonts w:ascii="Times New Roman" w:hAnsi="Times New Roman" w:cs="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54" w:rsidRDefault="00F57A54">
      <w:pPr>
        <w:rPr>
          <w:rFonts w:ascii="Times New Roman" w:hAnsi="Times New Roman" w:cs="Times New Roman"/>
        </w:rPr>
      </w:pPr>
      <w:r>
        <w:rPr>
          <w:rFonts w:ascii="Times New Roman" w:hAnsi="Times New Roman" w:cs="Times New Roman"/>
        </w:rPr>
        <w:separator/>
      </w:r>
    </w:p>
  </w:footnote>
  <w:footnote w:type="continuationSeparator" w:id="0">
    <w:p w:rsidR="00F57A54" w:rsidRDefault="00F57A5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4" w:rsidRDefault="00F57A54">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29.25pt;width:595.3pt;height:196.95pt;z-index:-251656192;visibility:visible;mso-position-horizontal-relative:page;mso-position-vertical-relative:page">
          <v:imagedata r:id="rId1" o:title=""/>
          <w10:wrap anchorx="page" anchory="page"/>
        </v:shape>
      </w:pict>
    </w:r>
  </w:p>
  <w:p w:rsidR="00F57A54" w:rsidRDefault="00F57A54">
    <w:pPr>
      <w:pStyle w:val="Header"/>
    </w:pPr>
  </w:p>
  <w:p w:rsidR="00F57A54" w:rsidRDefault="00F57A54">
    <w:pPr>
      <w:pStyle w:val="Header"/>
    </w:pPr>
  </w:p>
  <w:p w:rsidR="00F57A54" w:rsidRDefault="00F57A54">
    <w:pPr>
      <w:pStyle w:val="Header"/>
    </w:pPr>
  </w:p>
  <w:p w:rsidR="00F57A54" w:rsidRDefault="00F57A54">
    <w:pPr>
      <w:pStyle w:val="Header"/>
    </w:pPr>
  </w:p>
  <w:p w:rsidR="00F57A54" w:rsidRDefault="00F57A54">
    <w:pPr>
      <w:pStyle w:val="Header"/>
    </w:pPr>
  </w:p>
  <w:p w:rsidR="00F57A54" w:rsidRDefault="00F57A54">
    <w:pPr>
      <w:pStyle w:val="Header"/>
    </w:pPr>
  </w:p>
  <w:p w:rsidR="00F57A54" w:rsidRDefault="00F57A54">
    <w:pPr>
      <w:pStyle w:val="Header"/>
    </w:pPr>
  </w:p>
  <w:p w:rsidR="00F57A54" w:rsidRDefault="00F57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90B15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6925874"/>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E00491B4"/>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83501B20"/>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952C21C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E90BCB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FE056F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93C6E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F40F5E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BEF44FBA"/>
    <w:lvl w:ilvl="0">
      <w:start w:val="1"/>
      <w:numFmt w:val="bullet"/>
      <w:lvlText w:val=""/>
      <w:lvlJc w:val="left"/>
      <w:pPr>
        <w:tabs>
          <w:tab w:val="num" w:pos="360"/>
        </w:tabs>
        <w:ind w:left="360" w:hanging="360"/>
      </w:pPr>
      <w:rPr>
        <w:rFonts w:ascii="Symbol" w:hAnsi="Symbol" w:cs="Symbol" w:hint="default"/>
      </w:rPr>
    </w:lvl>
  </w:abstractNum>
  <w:abstractNum w:abstractNumId="10">
    <w:nsid w:val="110D58F1"/>
    <w:multiLevelType w:val="hybridMultilevel"/>
    <w:tmpl w:val="AA62193A"/>
    <w:lvl w:ilvl="0" w:tplc="4009000D">
      <w:start w:val="1"/>
      <w:numFmt w:val="bullet"/>
      <w:lvlText w:val=""/>
      <w:lvlJc w:val="left"/>
      <w:pPr>
        <w:ind w:left="360" w:hanging="360"/>
      </w:pPr>
      <w:rPr>
        <w:rFonts w:ascii="Wingdings" w:hAnsi="Wingdings" w:cs="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11">
    <w:nsid w:val="29265414"/>
    <w:multiLevelType w:val="hybridMultilevel"/>
    <w:tmpl w:val="EAA0AFE6"/>
    <w:lvl w:ilvl="0" w:tplc="04090001">
      <w:start w:val="1"/>
      <w:numFmt w:val="bullet"/>
      <w:lvlText w:val=""/>
      <w:lvlJc w:val="left"/>
      <w:pPr>
        <w:tabs>
          <w:tab w:val="num" w:pos="720"/>
        </w:tabs>
        <w:ind w:left="720" w:hanging="360"/>
      </w:pPr>
      <w:rPr>
        <w:rFonts w:ascii="Symbol" w:hAnsi="Symbol" w:cs="Symbol" w:hint="default"/>
      </w:rPr>
    </w:lvl>
    <w:lvl w:ilvl="1" w:tplc="95D0D94C">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D9D12D6"/>
    <w:multiLevelType w:val="hybridMultilevel"/>
    <w:tmpl w:val="BA7C9CE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nsid w:val="2EC85EB5"/>
    <w:multiLevelType w:val="hybridMultilevel"/>
    <w:tmpl w:val="637CF6FC"/>
    <w:lvl w:ilvl="0" w:tplc="7DD4B068">
      <w:start w:val="1"/>
      <w:numFmt w:val="bullet"/>
      <w:lvlText w:val=""/>
      <w:lvlJc w:val="left"/>
      <w:pPr>
        <w:tabs>
          <w:tab w:val="num" w:pos="360"/>
        </w:tabs>
        <w:ind w:left="360" w:hanging="360"/>
      </w:pPr>
      <w:rPr>
        <w:rFonts w:ascii="Symbol" w:hAnsi="Symbol" w:cs="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9D97828"/>
    <w:multiLevelType w:val="hybridMultilevel"/>
    <w:tmpl w:val="CA00D6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A945CE3"/>
    <w:multiLevelType w:val="hybridMultilevel"/>
    <w:tmpl w:val="538EE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DB8510A"/>
    <w:multiLevelType w:val="hybridMultilevel"/>
    <w:tmpl w:val="675CA3AA"/>
    <w:lvl w:ilvl="0" w:tplc="04090001">
      <w:start w:val="1"/>
      <w:numFmt w:val="bullet"/>
      <w:lvlText w:val=""/>
      <w:lvlJc w:val="left"/>
      <w:pPr>
        <w:ind w:left="153" w:hanging="360"/>
      </w:pPr>
      <w:rPr>
        <w:rFonts w:ascii="Symbol" w:hAnsi="Symbol" w:cs="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cs="Wingdings" w:hint="default"/>
      </w:rPr>
    </w:lvl>
    <w:lvl w:ilvl="3" w:tplc="04090001">
      <w:start w:val="1"/>
      <w:numFmt w:val="bullet"/>
      <w:lvlText w:val=""/>
      <w:lvlJc w:val="left"/>
      <w:pPr>
        <w:ind w:left="2313" w:hanging="360"/>
      </w:pPr>
      <w:rPr>
        <w:rFonts w:ascii="Symbol" w:hAnsi="Symbol" w:cs="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cs="Wingdings" w:hint="default"/>
      </w:rPr>
    </w:lvl>
    <w:lvl w:ilvl="6" w:tplc="04090001">
      <w:start w:val="1"/>
      <w:numFmt w:val="bullet"/>
      <w:lvlText w:val=""/>
      <w:lvlJc w:val="left"/>
      <w:pPr>
        <w:ind w:left="4473" w:hanging="360"/>
      </w:pPr>
      <w:rPr>
        <w:rFonts w:ascii="Symbol" w:hAnsi="Symbol" w:cs="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cs="Wingdings" w:hint="default"/>
      </w:rPr>
    </w:lvl>
  </w:abstractNum>
  <w:abstractNum w:abstractNumId="17">
    <w:nsid w:val="513521B5"/>
    <w:multiLevelType w:val="hybridMultilevel"/>
    <w:tmpl w:val="B5DAFD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46206EC"/>
    <w:multiLevelType w:val="hybridMultilevel"/>
    <w:tmpl w:val="7062FE94"/>
    <w:lvl w:ilvl="0" w:tplc="04090001">
      <w:start w:val="1"/>
      <w:numFmt w:val="bullet"/>
      <w:lvlText w:val=""/>
      <w:lvlJc w:val="left"/>
      <w:pPr>
        <w:ind w:left="873" w:hanging="360"/>
      </w:pPr>
      <w:rPr>
        <w:rFonts w:ascii="Symbol" w:hAnsi="Symbol" w:cs="Symbol" w:hint="default"/>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cs="Wingdings" w:hint="default"/>
      </w:rPr>
    </w:lvl>
    <w:lvl w:ilvl="3" w:tplc="04090001">
      <w:start w:val="1"/>
      <w:numFmt w:val="bullet"/>
      <w:lvlText w:val=""/>
      <w:lvlJc w:val="left"/>
      <w:pPr>
        <w:ind w:left="3033" w:hanging="360"/>
      </w:pPr>
      <w:rPr>
        <w:rFonts w:ascii="Symbol" w:hAnsi="Symbol" w:cs="Symbol" w:hint="default"/>
      </w:rPr>
    </w:lvl>
    <w:lvl w:ilvl="4" w:tplc="04090003">
      <w:start w:val="1"/>
      <w:numFmt w:val="bullet"/>
      <w:lvlText w:val="o"/>
      <w:lvlJc w:val="left"/>
      <w:pPr>
        <w:ind w:left="3753" w:hanging="360"/>
      </w:pPr>
      <w:rPr>
        <w:rFonts w:ascii="Courier New" w:hAnsi="Courier New" w:cs="Courier New" w:hint="default"/>
      </w:rPr>
    </w:lvl>
    <w:lvl w:ilvl="5" w:tplc="04090005">
      <w:start w:val="1"/>
      <w:numFmt w:val="bullet"/>
      <w:lvlText w:val=""/>
      <w:lvlJc w:val="left"/>
      <w:pPr>
        <w:ind w:left="4473" w:hanging="360"/>
      </w:pPr>
      <w:rPr>
        <w:rFonts w:ascii="Wingdings" w:hAnsi="Wingdings" w:cs="Wingdings" w:hint="default"/>
      </w:rPr>
    </w:lvl>
    <w:lvl w:ilvl="6" w:tplc="04090001">
      <w:start w:val="1"/>
      <w:numFmt w:val="bullet"/>
      <w:lvlText w:val=""/>
      <w:lvlJc w:val="left"/>
      <w:pPr>
        <w:ind w:left="5193" w:hanging="360"/>
      </w:pPr>
      <w:rPr>
        <w:rFonts w:ascii="Symbol" w:hAnsi="Symbol" w:cs="Symbol" w:hint="default"/>
      </w:rPr>
    </w:lvl>
    <w:lvl w:ilvl="7" w:tplc="04090003">
      <w:start w:val="1"/>
      <w:numFmt w:val="bullet"/>
      <w:lvlText w:val="o"/>
      <w:lvlJc w:val="left"/>
      <w:pPr>
        <w:ind w:left="5913" w:hanging="360"/>
      </w:pPr>
      <w:rPr>
        <w:rFonts w:ascii="Courier New" w:hAnsi="Courier New" w:cs="Courier New" w:hint="default"/>
      </w:rPr>
    </w:lvl>
    <w:lvl w:ilvl="8" w:tplc="04090005">
      <w:start w:val="1"/>
      <w:numFmt w:val="bullet"/>
      <w:lvlText w:val=""/>
      <w:lvlJc w:val="left"/>
      <w:pPr>
        <w:ind w:left="6633" w:hanging="360"/>
      </w:pPr>
      <w:rPr>
        <w:rFonts w:ascii="Wingdings" w:hAnsi="Wingdings" w:cs="Wingdings" w:hint="default"/>
      </w:rPr>
    </w:lvl>
  </w:abstractNum>
  <w:abstractNum w:abstractNumId="19">
    <w:nsid w:val="636F56FC"/>
    <w:multiLevelType w:val="hybridMultilevel"/>
    <w:tmpl w:val="8AF8B8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CB37100"/>
    <w:multiLevelType w:val="hybridMultilevel"/>
    <w:tmpl w:val="BB7AC5C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77013264"/>
    <w:multiLevelType w:val="hybridMultilevel"/>
    <w:tmpl w:val="BDF291BA"/>
    <w:lvl w:ilvl="0" w:tplc="0409000D">
      <w:start w:val="1"/>
      <w:numFmt w:val="bullet"/>
      <w:lvlText w:val=""/>
      <w:lvlJc w:val="left"/>
      <w:pPr>
        <w:ind w:left="153" w:hanging="360"/>
      </w:pPr>
      <w:rPr>
        <w:rFonts w:ascii="Wingdings" w:hAnsi="Wingdings" w:cs="Wingdings"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cs="Wingdings" w:hint="default"/>
      </w:rPr>
    </w:lvl>
    <w:lvl w:ilvl="3" w:tplc="04090001">
      <w:start w:val="1"/>
      <w:numFmt w:val="bullet"/>
      <w:lvlText w:val=""/>
      <w:lvlJc w:val="left"/>
      <w:pPr>
        <w:ind w:left="2313" w:hanging="360"/>
      </w:pPr>
      <w:rPr>
        <w:rFonts w:ascii="Symbol" w:hAnsi="Symbol" w:cs="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cs="Wingdings" w:hint="default"/>
      </w:rPr>
    </w:lvl>
    <w:lvl w:ilvl="6" w:tplc="04090001">
      <w:start w:val="1"/>
      <w:numFmt w:val="bullet"/>
      <w:lvlText w:val=""/>
      <w:lvlJc w:val="left"/>
      <w:pPr>
        <w:ind w:left="4473" w:hanging="360"/>
      </w:pPr>
      <w:rPr>
        <w:rFonts w:ascii="Symbol" w:hAnsi="Symbol" w:cs="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cs="Wingdings" w:hint="default"/>
      </w:rPr>
    </w:lvl>
  </w:abstractNum>
  <w:abstractNum w:abstractNumId="22">
    <w:nsid w:val="79F33B73"/>
    <w:multiLevelType w:val="hybridMultilevel"/>
    <w:tmpl w:val="B85E6A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10"/>
  </w:num>
  <w:num w:numId="4">
    <w:abstractNumId w:val="13"/>
  </w:num>
  <w:num w:numId="5">
    <w:abstractNumId w:val="22"/>
  </w:num>
  <w:num w:numId="6">
    <w:abstractNumId w:val="20"/>
  </w:num>
  <w:num w:numId="7">
    <w:abstractNumId w:val="14"/>
  </w:num>
  <w:num w:numId="8">
    <w:abstractNumId w:val="15"/>
  </w:num>
  <w:num w:numId="9">
    <w:abstractNumId w:val="19"/>
  </w:num>
  <w:num w:numId="10">
    <w:abstractNumId w:val="13"/>
  </w:num>
  <w:num w:numId="11">
    <w:abstractNumId w:val="12"/>
  </w:num>
  <w:num w:numId="12">
    <w:abstractNumId w:val="16"/>
  </w:num>
  <w:num w:numId="13">
    <w:abstractNumId w:val="18"/>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A54"/>
    <w:rsid w:val="00F57A5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pPr>
    <w:rPr>
      <w:rFonts w:ascii="Arial" w:hAnsi="Arial" w:cs="Arial"/>
      <w:lang w:val="en-US" w:eastAsia="en-US"/>
    </w:rPr>
  </w:style>
  <w:style w:type="paragraph" w:styleId="Heading4">
    <w:name w:val="heading 4"/>
    <w:basedOn w:val="Normal"/>
    <w:next w:val="Normal"/>
    <w:link w:val="Heading4Char"/>
    <w:uiPriority w:val="99"/>
    <w:qFormat/>
    <w:pPr>
      <w:keepNext/>
      <w:spacing w:after="120" w:line="240" w:lineRule="atLeast"/>
      <w:outlineLvl w:val="3"/>
    </w:pPr>
    <w:rPr>
      <w:b/>
      <w:bCs/>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Arial" w:hAnsi="Arial" w:cs="Arial"/>
      <w:b/>
      <w:bCs/>
      <w:sz w:val="28"/>
      <w:szCs w:val="28"/>
      <w:lang w:eastAsia="en-US"/>
    </w:rPr>
  </w:style>
  <w:style w:type="paragraph" w:styleId="Header">
    <w:name w:val="header"/>
    <w:basedOn w:val="Normal"/>
    <w:link w:val="HeaderChar"/>
    <w:uiPriority w:val="99"/>
    <w:pPr>
      <w:tabs>
        <w:tab w:val="center" w:pos="4513"/>
        <w:tab w:val="right" w:pos="9026"/>
      </w:tabs>
    </w:pPr>
    <w:rPr>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513"/>
        <w:tab w:val="right" w:pos="9026"/>
      </w:tabs>
    </w:pPr>
    <w:rPr>
      <w:sz w:val="16"/>
      <w:szCs w:val="16"/>
    </w:rPr>
  </w:style>
  <w:style w:type="character" w:customStyle="1" w:styleId="FooterChar">
    <w:name w:val="Footer Char"/>
    <w:basedOn w:val="DefaultParagraphFont"/>
    <w:link w:val="Footer"/>
    <w:uiPriority w:val="99"/>
    <w:rPr>
      <w:rFonts w:ascii="Arial" w:hAnsi="Arial" w:cs="Arial"/>
      <w:sz w:val="24"/>
      <w:szCs w:val="24"/>
      <w:lang w:val="en-US" w:eastAsia="en-US"/>
    </w:rPr>
  </w:style>
  <w:style w:type="paragraph" w:styleId="BodyText">
    <w:name w:val="Body Text"/>
    <w:basedOn w:val="Normal"/>
    <w:link w:val="BodyTextChar"/>
    <w:uiPriority w:val="99"/>
    <w:rPr>
      <w:sz w:val="40"/>
      <w:szCs w:val="40"/>
    </w:rPr>
  </w:style>
  <w:style w:type="character" w:customStyle="1" w:styleId="BodyTextChar">
    <w:name w:val="Body Text Char"/>
    <w:basedOn w:val="DefaultParagraphFont"/>
    <w:link w:val="BodyText"/>
    <w:uiPriority w:val="99"/>
    <w:rPr>
      <w:rFonts w:ascii="Times New Roman" w:hAnsi="Times New Roman" w:cs="Times New Roman"/>
      <w:sz w:val="40"/>
      <w:szCs w:val="40"/>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style>
  <w:style w:type="paragraph" w:styleId="Title">
    <w:name w:val="Title"/>
    <w:basedOn w:val="Normal"/>
    <w:next w:val="Normal"/>
    <w:link w:val="TitleChar"/>
    <w:uiPriority w:val="99"/>
    <w:qFormat/>
    <w:pPr>
      <w:outlineLvl w:val="0"/>
    </w:pPr>
    <w:rPr>
      <w:b/>
      <w:bCs/>
      <w:kern w:val="28"/>
      <w:sz w:val="28"/>
      <w:szCs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2">
    <w:name w:val="Body Text 2"/>
    <w:basedOn w:val="Normal"/>
    <w:link w:val="BodyText2Char"/>
    <w:uiPriority w:val="99"/>
    <w:pPr>
      <w:spacing w:after="120" w:line="480" w:lineRule="auto"/>
    </w:pPr>
    <w:rPr>
      <w:lang w:val="en-GB"/>
    </w:r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tasteelch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323</Words>
  <Characters>1844</Characters>
  <Application>Microsoft Office Outlook</Application>
  <DocSecurity>0</DocSecurity>
  <Lines>0</Lines>
  <Paragraphs>0</Paragraphs>
  <ScaleCrop>false</ScaleCrop>
  <Company>TML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through bids and ‘use or loose’ policy will enhance coal availability,</dc:title>
  <dc:subject/>
  <dc:creator>B050078</dc:creator>
  <cp:keywords/>
  <dc:description/>
  <cp:lastModifiedBy>Sirius Enterprise</cp:lastModifiedBy>
  <cp:revision>21</cp:revision>
  <cp:lastPrinted>2016-05-13T08:36:00Z</cp:lastPrinted>
  <dcterms:created xsi:type="dcterms:W3CDTF">2016-05-12T08:48:00Z</dcterms:created>
  <dcterms:modified xsi:type="dcterms:W3CDTF">2016-05-17T12:51:00Z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0x010100F88E7C0ED47CE44181C70873CD127F02</vt:lpwstr>
  </property>
</Properties>
</file>